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C" w:rsidRPr="00944B6C" w:rsidRDefault="00944B6C" w:rsidP="00944B6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44B6C">
        <w:rPr>
          <w:rFonts w:ascii="Times New Roman" w:hAnsi="Times New Roman" w:cs="Times New Roman"/>
          <w:sz w:val="24"/>
          <w:szCs w:val="24"/>
        </w:rPr>
        <w:t>Изменения в законодательстве по охране труда, вступающие в силу 1 марта 2023 г.</w:t>
      </w:r>
      <w:bookmarkStart w:id="0" w:name="_GoBack"/>
      <w:bookmarkEnd w:id="0"/>
    </w:p>
    <w:p w:rsidR="00EE0E01" w:rsidRDefault="00EE0E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4164"/>
        <w:gridCol w:w="5467"/>
      </w:tblGrid>
      <w:tr w:rsidR="00944B6C" w:rsidTr="0013776A"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 Министерства труда и социальной защиты РФ от 31 октября 2022 г. N 699н "Об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микропредприятиям"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Утверждены особенности проведения специальной оценки условий труда (СОУТ) рабочих мест в организациях, осуществляющих отдельные виды деятельности, которые в соответствии с федеральным законодательством отнесены к микропредприятиям. Особенности применяются, например, к микропредприятиям, ведущим деятельность в области информации, права и бухучета, финансов, страхования, рекламы. Потенциально вредные и (или) опасные производственные факторы на рабочих местах идентифицирует работодатель (его представитель) совместно с работниками. Организацию, проводящую спецоценку, привлекать не нужно. При идентификации следует учитывать в т. ч. результаты ранее проводившихся на данных рабочих местах исследований (испытаний) и измерений вредных и (или) опасных производственных факторов, случаи производственного травматизма и (или) профзаболевания, результаты санэпиднадзора. На каждое рабочее место оформляется проверочный лист (рекомендован его образец). Результаты заполнения листа утверждает комиссия работодателя по проведению спецоценки. В отношении рабочих мест, на которых идентифицированы один или несколько потенциально вредных и (или) опасных производственных факторов, проводится СОУТ по общим правилам с привлечением специализированной организации. Если потенциально вредные и (или) опасные производственные факторы не выявлены, то комиссия признает условия труда допустимыми. Работодатель оформляет декларацию соответствия условий труда государственным нормативным требованиям охраны труда. Рекомендован ее образец.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Пункты 78,99, 104-116 Правил обучения по охране труда, утвержденных постановлением Правительства РФ от 24 декабря 2021 г. N 2464 "О порядке обучения по охране труда и проверки знания требований охраны труда"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Вступающие в силу положения касаются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России; внесения сведений в реестр индивидуальных предпринимателей и юридических лиц, осуществляющих деятельность по обучению своих работников вопросам охраны труда. Будут также вести реестр организаций и ИП, оказывающих услуги в области ОТ, и реестр обученных.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РФ от 5 июля 2022 г. N 1206 "О порядке </w:t>
            </w:r>
            <w:r>
              <w:rPr>
                <w:sz w:val="23"/>
                <w:szCs w:val="23"/>
              </w:rPr>
              <w:lastRenderedPageBreak/>
              <w:t>расследования и учета случаев профессиональных заболеваний работников"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Утвержден новый порядок расследования и учета профессиональных заболеваний работников. В </w:t>
            </w:r>
            <w:r>
              <w:rPr>
                <w:sz w:val="23"/>
                <w:szCs w:val="23"/>
              </w:rPr>
              <w:lastRenderedPageBreak/>
              <w:t>новых Правилах установлено, что 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(надзора): в течение суток со дня, следующего за днем получения из медорганизации извещения об установлении работнику предварительного диагноза - острое профзаболевание; в течение 7 рабочих дней со дня, следующего за днем получения извещения об установлении работнику предварительного диагноза - хроническое профзаболевание. Если при выяснении обстоятельств и причин возникновения заболевания будет установлен факт осуществления работником профессиональной деятельности во вредных и опасных условиях труда на предыдущих местах работы, вклад данных периодов работы в возникновение профессионального заболевания будет отражаться в санитарно-гигиенической характеристике условий труда. Немного меняется состав комиссии для расследования профзаболевания. Приводится новая форма акта о случае профзаболевания.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РФ от 1 февраля 2023 г. N 134 "О реализации пилотного проекта по проведению профилактики профессиональных заболеваний работников в отдельных видах экономической деятельности"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марта по 31 декабря 2023 г. будет реализован пилотный проект по профилактике профзаболеваний работников в отдельных видах экономической деятельности. Перечень работодателей - участников проекта утвердит СФР по согласованию с Минтрансом, Минпромторгом и Минэнерго. Под пилотный проект подпадают работники, у которых по результатам медосмотра выявлены ранние признаки воздействия вредных и (или) опасных производственных факторов. Профилактика проводится в реабилитационных центах. Продолжительность - 18 календарных дней. Работодатели до 15 апреля должны представить в территориальные органы СФР списки работников, которым рекомендована профилактика. Заявление о финансировании расходов на профилактику подается до 1 июля, о возмещении расходов - до 1 декабря. Финансировать будут следующие расходы: на профилактику в реабилитационных центрах; на дополнительный отпуск на период профилактики; на проезд работников; не медосмотры по результатам профилактики; на уплату страховых взносов.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ПостановленниеПравительства РФ от 14 октября 2022 г. N 1830 "О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</w:t>
            </w:r>
            <w:r>
              <w:rPr>
                <w:sz w:val="23"/>
                <w:szCs w:val="23"/>
              </w:rPr>
              <w:lastRenderedPageBreak/>
              <w:t>особенностей"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силу ч.7 ст. 9 Федерального закона от 28.12.2013 N 426-ФЗ специальная оценка условий труда (СОУТ) на отдельных рабочих местах осуществляется с учетом особенностей, устанавливаемых уполномоченным федеральным органом исполнительной власти. С 1 марта 2023 г. до 1 марта 2029 г. будет действовать новый перечень рабочих мест, в отношении которых СОУТ проводится с учетом устанавливаемых Минтрудом особенностей. </w:t>
            </w:r>
            <w:r>
              <w:rPr>
                <w:sz w:val="23"/>
                <w:szCs w:val="23"/>
              </w:rPr>
              <w:lastRenderedPageBreak/>
              <w:t>Он, в частности, содержит рабочие места в организациях - субъектах малого бизнеса (включая ИП), которые отнесены к микропредприятиям и которые занимаются определенной деятельностью, в т. ч. финансовой и страховой деятельностью, образованием, IT-деятельностью, деятельностью по операциям с недвижимостью.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РФ от 24 октября 2022 г. N 1885 "О внесении изменений в Правила противопожарного режима в Российской Федерации"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Правила противопожарного режима внесены многочисленные изменения, в том числе: установлена возможность утверждать одну инструкцию о мерах пожарной безопасности для группы однотипных зданий или сооружений, расположенных по одному адресу; журнал эксплуатации систем противопожарной защиты можно вести в электронной форме; противопожарная минерализованная полоса должна быть шириной не менее 1,4 метра; при работах по сохранению объекта культурного наследия разрешено применять неинвентарные неметаллические леса, обработанные огнезащитным составом не ниже второй группы огнезащитной эффективности; время наблюдения за местом проведения огневых работ сокращено с 4 до 2 часов, при этом допускается дистанционное наблюдение, в т.ч. посредством видеонаблюдения; утрачивают силу требования к бочкам для хранения воды, устанавливаемым рядом с пожарным щитом, и к ящикам для песка.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РФ от 19 сентября 2022 г. N 1654 "Об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Правительство утвердило Правила проведения эвакуационных мероприятий при угрозе возникновения или возникновении чрезвычайных ситуаций природного и техногенного характера. Согласно документу эвакуационные мероприятия будут проводиться в том числе на основании решений руководителей организаций. В решении руководителя определяются: места сбора и (или) посадки на транспорт населения, перечень вывозимых ценностей; маршруты эвакуации, способы и сроки перевоза населения, вывоза ценностей; перечень транспортных средств, привлекаемых для проведения эвакуационных мероприятий; перечень развертываемых пунктов временного размещения и питания, места хранения вывозимых ценностей. При принятии решения о проведении эвакуационных мероприятий организации: оповещают об этом работников и граждан, находящихся в организации, маршрутах и способах проведения эвакуационных мероприятий; организуют перевозку работников и граждан в безопасные районы, а также вывоз ценностей.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труда и социальной защиты РФ от 20 сентября 2022 г. N 578н "Об утверждении </w:t>
            </w:r>
            <w:r>
              <w:rPr>
                <w:sz w:val="23"/>
                <w:szCs w:val="23"/>
              </w:rPr>
              <w:lastRenderedPageBreak/>
              <w:t>единых требований к составу и форматам документов, связанных с работой, оформляемых в электронном виде без дублирования на бумажном носителе"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Утвержден справочник основных видов электронных документов, связанных с работой. В него, в частности, включен ряд документов по </w:t>
            </w:r>
            <w:r>
              <w:rPr>
                <w:sz w:val="23"/>
                <w:szCs w:val="23"/>
              </w:rPr>
              <w:lastRenderedPageBreak/>
              <w:t>охране труда: заявление работника об освобождении от работы для прохождения диспансеризации; заявление о замене молока или других равноценных пищевых продуктов компенсационной выплатой; заявление о замене компенсационной выплаты на молоко или другие равноценные пищевые продукты; заявление о замене выдачи молока на выдачу равноценных пищевых продуктов; заявление о замене выдачи равноценных пищевых продуктов на выдачу молока; согласие работника об информировании о результатах расследования несчастного случая, происшедшего с ним при выполнении работы по совместительству, работодателя по месту основной работы.</w:t>
            </w:r>
          </w:p>
        </w:tc>
      </w:tr>
      <w:tr w:rsidR="00944B6C" w:rsidTr="0013776A"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B6C" w:rsidRDefault="00944B6C" w:rsidP="0013776A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 Правительства РФ от 21 октября 2022 г. N 1882 "О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опьянения"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4B6C" w:rsidRDefault="00944B6C" w:rsidP="00944B6C">
            <w:pPr>
              <w:pStyle w:val="af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Вводятся новые правила освидетельствования на состояние алкогольного опьянения и оформления его результатов, направления на медосвидетельствование водителей. Они будут действовать до 1 марта 2029 г. Существенно правила не меняются. Освидетельствование будет возможно в присутствии двух понятых либо с применением видеозаписи (сейчас - только в присутствии двух понятых). При отказе водителя от проверки или несогласии с ее результатами он направляется на медосвидетельствование.</w:t>
            </w:r>
          </w:p>
        </w:tc>
      </w:tr>
    </w:tbl>
    <w:p w:rsidR="00944B6C" w:rsidRDefault="00944B6C"/>
    <w:sectPr w:rsidR="00944B6C" w:rsidSect="00944B6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559BF"/>
    <w:rsid w:val="004F1960"/>
    <w:rsid w:val="00944B6C"/>
    <w:rsid w:val="00963B30"/>
    <w:rsid w:val="00B74062"/>
    <w:rsid w:val="00C559BF"/>
    <w:rsid w:val="00EE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406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character" w:customStyle="1" w:styleId="af4">
    <w:name w:val="Гипертекстовая ссылка"/>
    <w:basedOn w:val="a0"/>
    <w:uiPriority w:val="99"/>
    <w:rsid w:val="00944B6C"/>
    <w:rPr>
      <w:rFonts w:cs="Times New Roman"/>
      <w:b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944B6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widowControl/>
      <w:numPr>
        <w:ilvl w:val="1"/>
      </w:numPr>
      <w:autoSpaceDE/>
      <w:autoSpaceDN/>
      <w:adjustRightInd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74062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character" w:customStyle="1" w:styleId="af4">
    <w:name w:val="Гипертекстовая ссылка"/>
    <w:basedOn w:val="a0"/>
    <w:uiPriority w:val="99"/>
    <w:rsid w:val="00944B6C"/>
    <w:rPr>
      <w:rFonts w:cs="Times New Roman"/>
      <w:b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944B6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1516</Words>
  <Characters>8647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dcterms:created xsi:type="dcterms:W3CDTF">2023-07-11T04:24:00Z</dcterms:created>
  <dcterms:modified xsi:type="dcterms:W3CDTF">2023-07-11T04:24:00Z</dcterms:modified>
</cp:coreProperties>
</file>